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Mẫu 2 - Điều lệ mẫu của quỹ xã hội, quỹ từ thiện</w:t>
      </w:r>
      <w:r w:rsidRPr="00DF39E6">
        <w:rPr>
          <w:rFonts w:eastAsia="Times New Roman" w:cs="Times New Roman"/>
          <w:b/>
          <w:bCs/>
          <w:sz w:val="24"/>
          <w:szCs w:val="24"/>
          <w:vertAlign w:val="superscript"/>
        </w:rPr>
        <w:t>(*)</w:t>
      </w:r>
    </w:p>
    <w:tbl>
      <w:tblPr>
        <w:tblW w:w="0" w:type="auto"/>
        <w:tblBorders>
          <w:insideH w:val="nil"/>
          <w:insideV w:val="nil"/>
        </w:tblBorders>
        <w:tblCellMar>
          <w:left w:w="0" w:type="dxa"/>
          <w:right w:w="0" w:type="dxa"/>
        </w:tblCellMar>
        <w:tblLook w:val="04A0"/>
      </w:tblPr>
      <w:tblGrid>
        <w:gridCol w:w="3322"/>
        <w:gridCol w:w="5569"/>
      </w:tblGrid>
      <w:tr w:rsidR="007C487D" w:rsidRPr="00DF39E6" w:rsidTr="00F000A7">
        <w:tc>
          <w:tcPr>
            <w:tcW w:w="3322" w:type="dxa"/>
            <w:tcBorders>
              <w:top w:val="nil"/>
              <w:left w:val="nil"/>
              <w:bottom w:val="nil"/>
              <w:right w:val="nil"/>
            </w:tcBorders>
            <w:tcMar>
              <w:top w:w="0" w:type="dxa"/>
              <w:left w:w="108" w:type="dxa"/>
              <w:bottom w:w="0" w:type="dxa"/>
              <w:right w:w="108" w:type="dxa"/>
            </w:tcMar>
            <w:hideMark/>
          </w:tcPr>
          <w:p w:rsidR="007C487D" w:rsidRPr="00DF39E6" w:rsidRDefault="007C487D" w:rsidP="00F000A7">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w:t>
            </w:r>
            <w:r w:rsidRPr="00DF39E6">
              <w:rPr>
                <w:rFonts w:eastAsia="Times New Roman" w:cs="Times New Roman"/>
                <w:b/>
                <w:bCs/>
                <w:sz w:val="24"/>
                <w:szCs w:val="24"/>
                <w:vertAlign w:val="superscript"/>
              </w:rPr>
              <w:t>(1)</w:t>
            </w:r>
            <w:r w:rsidRPr="00DF39E6">
              <w:rPr>
                <w:rFonts w:eastAsia="Times New Roman" w:cs="Times New Roman"/>
                <w:b/>
                <w:bCs/>
                <w:sz w:val="24"/>
                <w:szCs w:val="24"/>
              </w:rPr>
              <w:t>…..</w:t>
            </w:r>
            <w:r w:rsidRPr="00DF39E6">
              <w:rPr>
                <w:rFonts w:eastAsia="Times New Roman" w:cs="Times New Roman"/>
                <w:b/>
                <w:bCs/>
                <w:sz w:val="24"/>
                <w:szCs w:val="24"/>
              </w:rPr>
              <w:br/>
              <w:t>--------</w:t>
            </w:r>
          </w:p>
        </w:tc>
        <w:tc>
          <w:tcPr>
            <w:tcW w:w="5569" w:type="dxa"/>
            <w:tcBorders>
              <w:top w:val="nil"/>
              <w:left w:val="nil"/>
              <w:bottom w:val="nil"/>
              <w:right w:val="nil"/>
            </w:tcBorders>
            <w:tcMar>
              <w:top w:w="0" w:type="dxa"/>
              <w:left w:w="108" w:type="dxa"/>
              <w:bottom w:w="0" w:type="dxa"/>
              <w:right w:w="108" w:type="dxa"/>
            </w:tcMar>
            <w:hideMark/>
          </w:tcPr>
          <w:p w:rsidR="007C487D" w:rsidRPr="00DF39E6" w:rsidRDefault="007C487D" w:rsidP="00F000A7">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CỘNG HÒA XÃ HỘI CHỦ NGHĨA VIỆT NAM</w:t>
            </w:r>
            <w:r w:rsidRPr="00DF39E6">
              <w:rPr>
                <w:rFonts w:eastAsia="Times New Roman" w:cs="Times New Roman"/>
                <w:b/>
                <w:bCs/>
                <w:sz w:val="24"/>
                <w:szCs w:val="24"/>
              </w:rPr>
              <w:br/>
              <w:t>Độc lập - Tự do - Hạnh phúc</w:t>
            </w:r>
            <w:r w:rsidRPr="00DF39E6">
              <w:rPr>
                <w:rFonts w:eastAsia="Times New Roman" w:cs="Times New Roman"/>
                <w:b/>
                <w:bCs/>
                <w:sz w:val="24"/>
                <w:szCs w:val="24"/>
              </w:rPr>
              <w:br/>
              <w:t>----------------</w:t>
            </w:r>
          </w:p>
        </w:tc>
      </w:tr>
    </w:tbl>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sz w:val="24"/>
          <w:szCs w:val="24"/>
        </w:rPr>
        <w:t> </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ĐIỀU LỆ (HOẶC ĐIỀU LỆ SỬA ĐỔI, BỐ SUNG)</w:t>
      </w:r>
      <w:r w:rsidRPr="00DF39E6">
        <w:rPr>
          <w:rFonts w:eastAsia="Times New Roman" w:cs="Times New Roman"/>
          <w:b/>
          <w:bCs/>
          <w:sz w:val="24"/>
          <w:szCs w:val="24"/>
        </w:rPr>
        <w:br/>
        <w:t>QUỸ</w:t>
      </w:r>
      <w:r w:rsidRPr="00DF39E6">
        <w:rPr>
          <w:rFonts w:eastAsia="Times New Roman" w:cs="Times New Roman"/>
          <w:sz w:val="24"/>
          <w:szCs w:val="24"/>
        </w:rPr>
        <w:t xml:space="preserve"> …</w:t>
      </w:r>
      <w:r w:rsidRPr="00DF39E6">
        <w:rPr>
          <w:rFonts w:eastAsia="Times New Roman" w:cs="Times New Roman"/>
          <w:sz w:val="24"/>
          <w:szCs w:val="24"/>
          <w:vertAlign w:val="superscript"/>
        </w:rPr>
        <w:t>(2)</w:t>
      </w:r>
      <w:r w:rsidRPr="00DF39E6">
        <w:rPr>
          <w:rFonts w:eastAsia="Times New Roman" w:cs="Times New Roman"/>
          <w:sz w:val="24"/>
          <w:szCs w:val="24"/>
        </w:rPr>
        <w:t>…</w:t>
      </w:r>
      <w:r w:rsidRPr="00DF39E6">
        <w:rPr>
          <w:rFonts w:eastAsia="Times New Roman" w:cs="Times New Roman"/>
          <w:sz w:val="24"/>
          <w:szCs w:val="24"/>
        </w:rPr>
        <w:br/>
      </w:r>
      <w:r w:rsidRPr="00DF39E6">
        <w:rPr>
          <w:rFonts w:eastAsia="Times New Roman" w:cs="Times New Roman"/>
          <w:i/>
          <w:iCs/>
          <w:sz w:val="24"/>
          <w:szCs w:val="24"/>
        </w:rPr>
        <w:t>(Được công nhận kèm theo Quyết định số ... ngày ... tháng ... năm ... của...)</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Chương I.</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QUY ĐỊNH CHUNG</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 Tên gọi, biểu tượng, trụ sở</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Tên gọi:</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a) Tên tiếng Việt: .................................................................................................................... ;</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b) Tên tiếng nước ngoài (nếu có) .............................................................................................. ;</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 xml:space="preserve">c) Tên viết tắt (nếu có):.............................................................................................................. </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 xml:space="preserve">2. Biểu tượng (logo) của quỹ (nếu có)......................................................................................... </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Trụ sở: Số nhà, đường/phố (nếu có) …, xã/phường …, huyện/quận …, tỉnh/ thành phố …</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 Tôn chỉ, mục đích</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Quỹ …</w:t>
      </w:r>
      <w:r w:rsidRPr="00DF39E6">
        <w:rPr>
          <w:rFonts w:eastAsia="Times New Roman" w:cs="Times New Roman"/>
          <w:sz w:val="24"/>
          <w:szCs w:val="24"/>
          <w:vertAlign w:val="superscript"/>
        </w:rPr>
        <w:t>(2)</w:t>
      </w:r>
      <w:r w:rsidRPr="00DF39E6">
        <w:rPr>
          <w:rFonts w:eastAsia="Times New Roman" w:cs="Times New Roman"/>
          <w:sz w:val="24"/>
          <w:szCs w:val="24"/>
        </w:rPr>
        <w:t>… (sau đây gọi tắt là Quỹ) là quỹ …</w:t>
      </w:r>
      <w:r w:rsidRPr="00DF39E6">
        <w:rPr>
          <w:rFonts w:eastAsia="Times New Roman" w:cs="Times New Roman"/>
          <w:sz w:val="24"/>
          <w:szCs w:val="24"/>
          <w:vertAlign w:val="superscript"/>
        </w:rPr>
        <w:t>(3)</w:t>
      </w:r>
      <w:r w:rsidRPr="00DF39E6">
        <w:rPr>
          <w:rFonts w:eastAsia="Times New Roman" w:cs="Times New Roman"/>
          <w:sz w:val="24"/>
          <w:szCs w:val="24"/>
        </w:rPr>
        <w:t>… hoạt động không vì lợi nhuận, nhằm mục đích …</w:t>
      </w:r>
      <w:r w:rsidRPr="00DF39E6">
        <w:rPr>
          <w:rFonts w:eastAsia="Times New Roman" w:cs="Times New Roman"/>
          <w:sz w:val="24"/>
          <w:szCs w:val="24"/>
          <w:vertAlign w:val="superscript"/>
        </w:rPr>
        <w:t>(4)</w:t>
      </w:r>
      <w:r w:rsidRPr="00DF39E6">
        <w:rPr>
          <w:rFonts w:eastAsia="Times New Roman" w:cs="Times New Roman"/>
          <w:sz w:val="24"/>
          <w:szCs w:val="24"/>
        </w:rPr>
        <w: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Quỹ được hình thành từ nguồn vốn đóng góp ban đầu của các sáng lập viên và tự tạo vốn trên cơ sở ...</w:t>
      </w:r>
      <w:r w:rsidRPr="00DF39E6">
        <w:rPr>
          <w:rFonts w:eastAsia="Times New Roman" w:cs="Times New Roman"/>
          <w:sz w:val="24"/>
          <w:szCs w:val="24"/>
          <w:vertAlign w:val="superscript"/>
        </w:rPr>
        <w:t>(5)</w:t>
      </w:r>
      <w:r w:rsidRPr="00DF39E6">
        <w:rPr>
          <w:rFonts w:eastAsia="Times New Roman" w:cs="Times New Roman"/>
          <w:sz w:val="24"/>
          <w:szCs w:val="24"/>
        </w:rPr>
        <w:t>... để thực hiện các hoạt động …</w:t>
      </w:r>
      <w:r w:rsidRPr="00DF39E6">
        <w:rPr>
          <w:rFonts w:eastAsia="Times New Roman" w:cs="Times New Roman"/>
          <w:sz w:val="24"/>
          <w:szCs w:val="24"/>
          <w:vertAlign w:val="superscript"/>
        </w:rPr>
        <w:t>(6)</w:t>
      </w:r>
      <w:r w:rsidRPr="00DF39E6">
        <w:rPr>
          <w:rFonts w:eastAsia="Times New Roman" w:cs="Times New Roman"/>
          <w:sz w:val="24"/>
          <w:szCs w:val="24"/>
        </w:rPr>
        <w: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3. Nguyên tắc tổ chức, phạm vi hoạt động và địa vị pháp lý</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Quỹ hoạt động theo nguyên tắc:</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a) Không vì lợi nhuận;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b) Tự nguyện, tự tạo vốn, tự trang trải kinh phí và tự chịu trách nhiệm trước pháp luật bằng tài sản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 Công khai, minh bạch về thu, chi, tài chính, tài sản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d) Theo Điều lệ của Quỹ đã được …</w:t>
      </w:r>
      <w:r w:rsidRPr="00DF39E6">
        <w:rPr>
          <w:rFonts w:eastAsia="Times New Roman" w:cs="Times New Roman"/>
          <w:sz w:val="24"/>
          <w:szCs w:val="24"/>
          <w:vertAlign w:val="superscript"/>
        </w:rPr>
        <w:t>(7)</w:t>
      </w:r>
      <w:r w:rsidRPr="00DF39E6">
        <w:rPr>
          <w:rFonts w:eastAsia="Times New Roman" w:cs="Times New Roman"/>
          <w:sz w:val="24"/>
          <w:szCs w:val="24"/>
        </w:rPr>
        <w:t>… công nhận, tuân thủ pháp luật, chịu sự quản lý nhà nước của ...</w:t>
      </w:r>
      <w:r w:rsidRPr="00DF39E6">
        <w:rPr>
          <w:rFonts w:eastAsia="Times New Roman" w:cs="Times New Roman"/>
          <w:sz w:val="24"/>
          <w:szCs w:val="24"/>
          <w:vertAlign w:val="superscript"/>
        </w:rPr>
        <w:t>(8)</w:t>
      </w:r>
      <w:r w:rsidRPr="00DF39E6">
        <w:rPr>
          <w:rFonts w:eastAsia="Times New Roman" w:cs="Times New Roman"/>
          <w:sz w:val="24"/>
          <w:szCs w:val="24"/>
        </w:rPr>
        <w:t>...về lĩnh vực Quỹ hoạt động;</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đ) Không phân chia tài sản của Quỹ trong quá trình Quỹ đang hoạt động.</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Quỹ có phạm vi hoạt động …</w:t>
      </w:r>
      <w:r w:rsidRPr="00DF39E6">
        <w:rPr>
          <w:rFonts w:eastAsia="Times New Roman" w:cs="Times New Roman"/>
          <w:sz w:val="24"/>
          <w:szCs w:val="24"/>
          <w:vertAlign w:val="superscript"/>
        </w:rPr>
        <w:t>(9)</w:t>
      </w:r>
      <w:r w:rsidRPr="00DF39E6">
        <w:rPr>
          <w:rFonts w:eastAsia="Times New Roman" w:cs="Times New Roman"/>
          <w:sz w:val="24"/>
          <w:szCs w:val="24"/>
        </w:rPr>
        <w: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Quỹ có tư cách pháp nhân, có con dấu, tài khoản tại ngân hàng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 xml:space="preserve">Điều 4. Sáng lập viên thành lập Quỹ </w:t>
      </w:r>
      <w:r w:rsidRPr="00DF39E6">
        <w:rPr>
          <w:rFonts w:eastAsia="Times New Roman" w:cs="Times New Roman"/>
          <w:sz w:val="24"/>
          <w:szCs w:val="24"/>
        </w:rPr>
        <w:t>…</w:t>
      </w:r>
      <w:r w:rsidRPr="00DF39E6">
        <w:rPr>
          <w:rFonts w:eastAsia="Times New Roman" w:cs="Times New Roman"/>
          <w:sz w:val="24"/>
          <w:szCs w:val="24"/>
          <w:vertAlign w:val="superscript"/>
        </w:rPr>
        <w:t>(10)</w:t>
      </w:r>
      <w:r w:rsidRPr="00DF39E6">
        <w:rPr>
          <w:rFonts w:eastAsia="Times New Roman" w:cs="Times New Roman"/>
          <w:sz w:val="24"/>
          <w:szCs w:val="24"/>
        </w:rPr>
        <w:t>…</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lastRenderedPageBreak/>
        <w:t>Chương II.</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CHỨC NĂNG, NHIỆM VỤ; QUYỀN HẠN VÀ NGHĨA VỤ</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5. Chức năng, nhiệm vụ</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Sử dụng nguồn vốn của Quỹ để hỗ trợ, tài trợ cho các đối tượng, các chương trình, dự án phù hợp với tôn chỉ, mục đích của Quỹ và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Tiếp nhận tài sản từ các tổ chức, cá nhân trong và ngoài nước tài trợ, hiến, tặng hoặc bằng các hình thức khác theo quy định của pháp luật để tạo nguồn vốn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6. Quyền hạn và nghĩa vụ</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(Quy định tại Điều 30 Nghị định số 30/2012/NĐ-CP. Căn cứ tôn chỉ, mục đích của quỹ và quy định của pháp luật có liên quan để quy định cụ thể).</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Chương III.</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TỔ CHỨC, HOẠT ĐỘNG</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7. Cơ cấu tổ chức</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Ban Kiểm soát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Văn phòng đại diện, chi nhánh, các đơn vị trực thuộc (nếu có).</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8.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Hội đồng quản lý Quỹ là cơ quan quản lý của Quỹ, nhân danh Quỹ để quyết định, thực hiện các quyền và nghĩa vụ của Quỹ. Hội đồng quản lý Quỹ có... thành viên do sáng lập viên đề cử, trường hợp không có đề cử của sáng lập viên thành lập Quỹ, Hội đồng quản lý Quỹ nhiệm kỳ trước bầu ra Hội đồng quản lý Quỹ nhiệm kỳ tiếp theo và được...</w:t>
      </w:r>
      <w:r w:rsidRPr="00DF39E6">
        <w:rPr>
          <w:rFonts w:eastAsia="Times New Roman" w:cs="Times New Roman"/>
          <w:sz w:val="24"/>
          <w:szCs w:val="24"/>
          <w:vertAlign w:val="superscript"/>
        </w:rPr>
        <w:t>(7)</w:t>
      </w:r>
      <w:r w:rsidRPr="00DF39E6">
        <w:rPr>
          <w:rFonts w:eastAsia="Times New Roman" w:cs="Times New Roman"/>
          <w:sz w:val="24"/>
          <w:szCs w:val="24"/>
        </w:rPr>
        <w:t>...công nhận. Nhiệm kỳ Hội đồng quản lý Quỹ là ... năm. Hội đồng quản lý Quỹ gồm: Chủ tịch, các Phó Chủ tịch và các thành viên.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Hội đồng quản lý Quỹ có nhiệm vụ và quyền hạn sau đây:</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a) Quyết định chiến lược phát triển và kế hoạch hoạt động hàng năm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b) Quyết định các giải pháp phát triển Quỹ; thông qua hợp đồng vay, mua, bán tài sản có giá trị từ ... đồng Việt Nam trở lên;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 Bầu, miễn nhiệm, bãi nhiệm Chủ tịch, các Phó Chủ tịch, thành viên Hội đồng quản lý Quỹ; quyết định thành lập Ban Kiểm soát Quỹ; quyết định bổ nhiệm, miễn nhiệm, cách chức Giám đốc Quỹ hoặc ký và chấm dứt hợp đồng đối với Giám đốc Quỹ trong trường hợp Giám đốc Quỹ là người do Quỹ thuê; quyết định người phụ trách công tác kế toán và người quản lý khác quy định tại điều lệ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d) Quyết định mức lương, thưởng và lợi ích khác đối với Chủ tịch, Phó Chủ tịch, thành viên Hội đồng quản lý Quỹ, Giám đốc, người phụ trách kế toán Quỹ và người làm việc tại Quỹ theo quy định tại Điều lệ Quỹ và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lastRenderedPageBreak/>
        <w:t>đ) Thông qua báo cáo tài chính hằng năm, phương án sử dụng tài sản, tài chính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e) Quyết định cơ cấu tổ chức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g) Quyết định thành lập pháp nhân trực thuộc Quỹ, thành lập chi nhánh, văn phòng đại diện Quỹ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h) Sửa đổi, bổ sung Điều lệ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i) Quyết định giải thể hoặc đề xuất những thay đổi về giấy phép thành lập và Điều lệ Quỹ với cơ quan nhà nước có thẩm quyền;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k) Trong thời hạn 60 (sáu mươi)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khiếu nại, tố cáo trong nội bộ Quỹ; Quy định về thời giờ làm việc, việc sử dụng lao động và sử dụng con dấu của Quỹ; Quy định cụ thể việc bầu, miễn nhiệm, bãi nhiệm Chủ tịch, các Phó Chủ tịch, thành viên Hội đồng quản lý Quỹ và quy chế làm việc của Hội đồng quản lý Quỹ, Ban Kiểm soát Quỹ; Quy định cụ thể việc bổ nhiệm, miễn nhiệm, cách chức Giám đốc Quỹ hoặc chấm dứt hợp đồng lao động đối với Giám đốc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l) Các nhiệm vụ và quyền hạn khác theo quy định của pháp luật (nếu có).</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Nguyên tắc hoạt động của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 Các quyết định của Hội đồng quản lý Quỹ được thông qua khi có ... thành viên Hội đồng quản lý Quỹ tán thành.</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9. Chủ tịch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Chủ tịch Hội đồng quản lý Quỹ là công dân Việt Nam, là người đại diện theo pháp luật của Quỹ, chịu trách nhiệm trước pháp luật về các hoạt động của Quỹ. Chủ tịch Hội đồng quản lý Quỹ do Hội đồng quản lý Quỹ bầu và có nhiệm kỳ cùng với nhiệm kỳ của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Nhiệm vụ của Chủ tịch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a) Chuẩn bị hoặc tổ chức việc chuẩn bị chương trình, kế hoạch hoạt động của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b) Chuẩn bị hoặc tổ chức việc chuẩn bị chương trình, nội dung, tài liệu họp Hội đồng quản lý Quỹ hoặc để lấy ý kiến các thành viên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 Triệu tập và chủ trì cuộc họp Hội đồng quản lý Quỹ hoặc tổ chức việc lấy ý kiến các thành viên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d) Giám sát hoặc tổ chức giám sát việc thực hiện các quyết định của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lastRenderedPageBreak/>
        <w:t>đ) Thay mặt Hội đồng quản lý Quỹ ký các quyết định của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e) Các quyền và nhiệm vụ khác theo quy định của pháp luật (nếu có).</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Trường hợp vắng mặt thì Chủ tịch Hội đồng quản lý Quỹ ủy quyền bằng văn bản cho Phó Chủ tịch Hội đồng quản lý Quỹ thực hiện nhiệm vụ của Chủ tịch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10. Phó Chủ tịch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Phó Chủ tịch Hội đồng quản lý Quỹ do Hội đồng quản lý Quỹ bầu và có nhiệm kỳ cùng với nhiệm kỳ của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11. Ban Kiểm soát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27 Nghị định số 30/2012/NĐ-CP để quy định cụ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12. Giám đốc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25 Nghị định số 30/2012/NĐ-CP để quy định cụ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13. Phụ trách kế toán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26 Nghị định số 30/2012/NĐ-CP để quy định cụ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14. Bộ phận chuyên môn giúp việc (nếu có)</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15. Chi nhánh, văn phòng đại diện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29 Nghị định số 30/2012/NĐ-CP để quy định cụ thể)</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Chương IV.</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VẬN ĐỘNG QUYÊN GÓP, TIẾP NHẬN TÀI TRỢ, ĐỐI TƯỢNG VÀ ĐIỀU KIỆN HỖ TRỢ</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16. Vận động quyên góp, tiếp nhận tài trợ</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Quỹ được vận động quyên góp, vận động tài trợ trong nước và nước ngoài nhằm thực hiện mục đích hoạt động theo quy định của Điều lệ Quỹ và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thực hiện hỗ trợ theo hướng dẫn của Ủy ban Trung ương Mặt trận Tổ quốc Việt Nam.</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17. Nguyên tắc vận động quyên góp, tiếp nhận tài trợ</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lastRenderedPageBreak/>
        <w:t>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Việc quyên góp, tiếp nhận, quản lý, sử dụng tiền, hiện vật từ cá nhân, tổ chức đóng góp cho Quỹ phải công khai, minh bạch và phải chịu sự thanh tra, kiểm tra, giám sát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4. Hình thức công khai bao gồm:</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a) Niêm yết công khai tại nơi tiếp nhận quyên góp, tài trợ và nơi nhận cứu trợ, trợ giúp;</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b) Thông báo trên phương tiện thông tin đại chúng;</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 Cung cấp thông tin theo yêu cầu của cơ quan, tổ chức, cá nhân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 xml:space="preserve">Điều 18. Đối tượng, điều kiện nhận hỗ trợ, tài trợ... </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Chương V.</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QUẢN LÝ VÀ SỬ DỤNG TÀI SẢN, TÀI CHÍNH</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19. Nguồn thu</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32 Nghị định số 30/2012/NĐ-CP để quy định cụ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20. Sử dụng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33 Nghị định số 30/2012/NĐ-CP để quy định cụ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21. Nội dung chi cho hoạt động quản lý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34 Nghị định số 30/2012/NĐ-CP để quy định cụ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22. Quản lý tài chính, tài sản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35 Nghị định số 30/2012/NĐ-CP để quy định cụ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23. Xử lý tài sản của Quỹ khi hợp nhất, sáp nhập, chia, tách, tạm đình chỉ và giải thể</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(Căn cứ quy định tại Điều 39 Nghị định số 30/2012/NĐ-CP để quy định cụ thể)</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Chương VI.</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HỢP NHẤT, SÁP NHẬP, CHIA, TÁCH, ĐỔI TÊN VÀ GIẢI THỂ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24. Hợp nhất, sáp nhập, chia, tách, đổi tên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Việc hợp nhất, sáp nhập, chia, tách, đổi tên Quỹ thực hiện theo quy định tại Điều 36 Nghị định số 30/2012/NĐ-CP.</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Hội đồng quản lý quỹ có trách nhiệm tổ chức thực hiện quyết định hợp nhất, sáp nhập, chia, tách, đổi tên Quỹ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25. Giải thể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Việc giải thể Quỹ thực hiện theo quy định tại Điều 38 Nghị định số 30/2012/NĐ-CP.</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lastRenderedPageBreak/>
        <w:t>2. Hội đồng quản lý quỹ có trách nhiệm tổ chức thực hiện quyết định giải thể Quỹ theo quy định của pháp luật.</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Chương VII.</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KHEN THƯỞNG VÀ KỶ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26. Khen thưởng</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Hội đồng quản lý Quỹ quy định cụ thể hình thức, thẩm quyền, trình tự xét khen thưởng trong nội bộ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27. Kỷ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Hội đồng quản lý Quỹ quy định cụ thể hình thức, thẩm quyền trình tự xem xét, quyết định kỷ luật trong nội bộ Quỹ.</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Chương VIII.</w:t>
      </w:r>
    </w:p>
    <w:p w:rsidR="007C487D" w:rsidRPr="00DF39E6" w:rsidRDefault="007C487D" w:rsidP="007C487D">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ĐIỀU KHOẢN THI HÀNH</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28. Sửa đổi, bổ sung Điều lệ</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Việc sửa đổi, bổ sung Điều lệ Quỹ phải được ... thành viên Hội đồng quản lý Quỹ thông qua.</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sz w:val="24"/>
          <w:szCs w:val="24"/>
        </w:rPr>
        <w:t>Điều 29. Hiệu lực thi hành</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1. Điều lệ Quỹ có ...</w:t>
      </w:r>
      <w:r w:rsidRPr="00DF39E6">
        <w:rPr>
          <w:rFonts w:eastAsia="Times New Roman" w:cs="Times New Roman"/>
          <w:sz w:val="24"/>
          <w:szCs w:val="24"/>
          <w:vertAlign w:val="superscript"/>
        </w:rPr>
        <w:t>(2)</w:t>
      </w:r>
      <w:r w:rsidRPr="00DF39E6">
        <w:rPr>
          <w:rFonts w:eastAsia="Times New Roman" w:cs="Times New Roman"/>
          <w:sz w:val="24"/>
          <w:szCs w:val="24"/>
        </w:rPr>
        <w:t>… Chương, ... Điều và có hiệu lực thi hành kể từ ngày được …</w:t>
      </w:r>
      <w:r w:rsidRPr="00DF39E6">
        <w:rPr>
          <w:rFonts w:eastAsia="Times New Roman" w:cs="Times New Roman"/>
          <w:sz w:val="24"/>
          <w:szCs w:val="24"/>
          <w:vertAlign w:val="superscript"/>
        </w:rPr>
        <w:t>(7)</w:t>
      </w:r>
      <w:r w:rsidRPr="00DF39E6">
        <w:rPr>
          <w:rFonts w:eastAsia="Times New Roman" w:cs="Times New Roman"/>
          <w:sz w:val="24"/>
          <w:szCs w:val="24"/>
        </w:rPr>
        <w:t>... công nhận.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2. Căn cứ các quy định pháp luật về quỹ xã hội, quỹ từ thiện và Điều lệ Quỹ đã được công nhận, Hội đồng quản lý Quỹ ...</w:t>
      </w:r>
      <w:r w:rsidRPr="00DF39E6">
        <w:rPr>
          <w:rFonts w:eastAsia="Times New Roman" w:cs="Times New Roman"/>
          <w:sz w:val="24"/>
          <w:szCs w:val="24"/>
          <w:vertAlign w:val="superscript"/>
        </w:rPr>
        <w:t>(2)</w:t>
      </w:r>
      <w:r w:rsidRPr="00DF39E6">
        <w:rPr>
          <w:rFonts w:eastAsia="Times New Roman" w:cs="Times New Roman"/>
          <w:sz w:val="24"/>
          <w:szCs w:val="24"/>
        </w:rPr>
        <w:t>... có trách nhiệm hướng dẫn và tổ chức thực hiện Điều lệ này./.</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rPr>
        <w:t> </w:t>
      </w:r>
    </w:p>
    <w:tbl>
      <w:tblPr>
        <w:tblW w:w="0" w:type="auto"/>
        <w:tblBorders>
          <w:insideH w:val="nil"/>
          <w:insideV w:val="nil"/>
        </w:tblBorders>
        <w:tblCellMar>
          <w:left w:w="0" w:type="dxa"/>
          <w:right w:w="0" w:type="dxa"/>
        </w:tblCellMar>
        <w:tblLook w:val="04A0"/>
      </w:tblPr>
      <w:tblGrid>
        <w:gridCol w:w="3686"/>
        <w:gridCol w:w="4961"/>
      </w:tblGrid>
      <w:tr w:rsidR="007C487D" w:rsidRPr="00DF39E6" w:rsidTr="00F000A7">
        <w:tc>
          <w:tcPr>
            <w:tcW w:w="3686" w:type="dxa"/>
            <w:tcBorders>
              <w:top w:val="nil"/>
              <w:left w:val="nil"/>
              <w:bottom w:val="nil"/>
              <w:right w:val="nil"/>
            </w:tcBorders>
            <w:tcMar>
              <w:top w:w="0" w:type="dxa"/>
              <w:left w:w="108" w:type="dxa"/>
              <w:bottom w:w="0" w:type="dxa"/>
              <w:right w:w="108" w:type="dxa"/>
            </w:tcMar>
            <w:hideMark/>
          </w:tcPr>
          <w:p w:rsidR="007C487D" w:rsidRPr="00DF39E6" w:rsidRDefault="007C487D" w:rsidP="00F000A7">
            <w:pPr>
              <w:spacing w:before="120" w:after="120" w:line="240" w:lineRule="auto"/>
              <w:jc w:val="both"/>
              <w:rPr>
                <w:rFonts w:eastAsia="Times New Roman" w:cs="Times New Roman"/>
                <w:sz w:val="24"/>
                <w:szCs w:val="24"/>
              </w:rPr>
            </w:pPr>
            <w:r w:rsidRPr="00DF39E6">
              <w:rPr>
                <w:rFonts w:eastAsia="Times New Roman" w:cs="Times New Roman"/>
                <w:sz w:val="24"/>
                <w:szCs w:val="24"/>
              </w:rPr>
              <w:t> </w:t>
            </w:r>
          </w:p>
        </w:tc>
        <w:tc>
          <w:tcPr>
            <w:tcW w:w="4961" w:type="dxa"/>
            <w:tcBorders>
              <w:top w:val="nil"/>
              <w:left w:val="nil"/>
              <w:bottom w:val="nil"/>
              <w:right w:val="nil"/>
            </w:tcBorders>
            <w:tcMar>
              <w:top w:w="0" w:type="dxa"/>
              <w:left w:w="108" w:type="dxa"/>
              <w:bottom w:w="0" w:type="dxa"/>
              <w:right w:w="108" w:type="dxa"/>
            </w:tcMar>
            <w:hideMark/>
          </w:tcPr>
          <w:p w:rsidR="007C487D" w:rsidRPr="00DF39E6" w:rsidRDefault="007C487D" w:rsidP="00F000A7">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QUYỀN HẠN, CHỨC VỤ CỦA NGƯỜI KÝ</w:t>
            </w:r>
            <w:r w:rsidRPr="00DF39E6">
              <w:rPr>
                <w:rFonts w:eastAsia="Times New Roman" w:cs="Times New Roman"/>
                <w:b/>
                <w:bCs/>
                <w:sz w:val="24"/>
                <w:szCs w:val="24"/>
              </w:rPr>
              <w:br/>
            </w:r>
            <w:r w:rsidRPr="00DF39E6">
              <w:rPr>
                <w:rFonts w:eastAsia="Times New Roman" w:cs="Times New Roman"/>
                <w:i/>
                <w:iCs/>
                <w:sz w:val="24"/>
                <w:szCs w:val="24"/>
              </w:rPr>
              <w:t>(Chữ ký, dấu)</w:t>
            </w:r>
            <w:r w:rsidRPr="00DF39E6">
              <w:rPr>
                <w:rFonts w:eastAsia="Times New Roman" w:cs="Times New Roman"/>
                <w:i/>
                <w:iCs/>
                <w:sz w:val="24"/>
                <w:szCs w:val="24"/>
              </w:rPr>
              <w:br/>
            </w:r>
            <w:r w:rsidRPr="00DF39E6">
              <w:rPr>
                <w:rFonts w:eastAsia="Times New Roman" w:cs="Times New Roman"/>
                <w:b/>
                <w:bCs/>
                <w:sz w:val="24"/>
                <w:szCs w:val="24"/>
              </w:rPr>
              <w:t>Họ và tên</w:t>
            </w:r>
          </w:p>
        </w:tc>
      </w:tr>
    </w:tbl>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b/>
          <w:bCs/>
          <w:i/>
          <w:iCs/>
          <w:sz w:val="24"/>
          <w:szCs w:val="24"/>
        </w:rPr>
        <w:t>Ghi chú:</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w:t>
      </w:r>
      <w:r w:rsidRPr="00DF39E6">
        <w:rPr>
          <w:rFonts w:eastAsia="Times New Roman" w:cs="Times New Roman"/>
          <w:sz w:val="24"/>
          <w:szCs w:val="24"/>
        </w:rPr>
        <w:t xml:space="preserve"> Căn cứ điều kiện cụ thể quỹ có thể bổ sung thêm số điều phù hợp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(1)</w:t>
      </w:r>
      <w:r w:rsidRPr="00DF39E6">
        <w:rPr>
          <w:rFonts w:eastAsia="Times New Roman" w:cs="Times New Roman"/>
          <w:sz w:val="24"/>
          <w:szCs w:val="24"/>
        </w:rPr>
        <w:t xml:space="preserve"> Tên cơ quan ban hành quyết định;</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(2)</w:t>
      </w:r>
      <w:r w:rsidRPr="00DF39E6">
        <w:rPr>
          <w:rFonts w:eastAsia="Times New Roman" w:cs="Times New Roman"/>
          <w:sz w:val="24"/>
          <w:szCs w:val="24"/>
        </w:rPr>
        <w:t xml:space="preserve"> Tên gọi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(3)</w:t>
      </w:r>
      <w:r w:rsidRPr="00DF39E6">
        <w:rPr>
          <w:rFonts w:eastAsia="Times New Roman" w:cs="Times New Roman"/>
          <w:sz w:val="24"/>
          <w:szCs w:val="24"/>
        </w:rPr>
        <w:t xml:space="preserve"> Quỹ xã hội, quỹ từ thiện hoặc quỹ xã hội - từ thiện;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(4)</w:t>
      </w:r>
      <w:r w:rsidRPr="00DF39E6">
        <w:rPr>
          <w:rFonts w:eastAsia="Times New Roman" w:cs="Times New Roman"/>
          <w:sz w:val="24"/>
          <w:szCs w:val="24"/>
        </w:rPr>
        <w:t xml:space="preserve"> Mục đích cụ thể của quỹ trên cơ sở quy định tại Điều 2 Nghị định số 30/2012/NĐ-CP và quy định của pháp luật có liên quan;</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lastRenderedPageBreak/>
        <w:t>(5)</w:t>
      </w:r>
      <w:r w:rsidRPr="00DF39E6">
        <w:rPr>
          <w:rFonts w:eastAsia="Times New Roman" w:cs="Times New Roman"/>
          <w:sz w:val="24"/>
          <w:szCs w:val="24"/>
        </w:rPr>
        <w:t xml:space="preserve"> Hình thức tạo vốn của quỹ như: Vận động quyên góp, vận động tài trợ của các cá nhân, tổ chức trong và ngoài nước...theo quy định của pháp luật;</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(6)</w:t>
      </w:r>
      <w:r w:rsidRPr="00DF39E6">
        <w:rPr>
          <w:rFonts w:eastAsia="Times New Roman" w:cs="Times New Roman"/>
          <w:sz w:val="24"/>
          <w:szCs w:val="24"/>
        </w:rPr>
        <w:t xml:space="preserve"> Các hoạt động hướng đến các đối tượng chính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(7)</w:t>
      </w:r>
      <w:r w:rsidRPr="00DF39E6">
        <w:rPr>
          <w:rFonts w:eastAsia="Times New Roman" w:cs="Times New Roman"/>
          <w:sz w:val="24"/>
          <w:szCs w:val="24"/>
        </w:rPr>
        <w:t xml:space="preserve"> Cơ quan có thẩm quyền công nhận điều lệ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(8)</w:t>
      </w:r>
      <w:r w:rsidRPr="00DF39E6">
        <w:rPr>
          <w:rFonts w:eastAsia="Times New Roman" w:cs="Times New Roman"/>
          <w:sz w:val="24"/>
          <w:szCs w:val="24"/>
        </w:rPr>
        <w:t xml:space="preserve"> Cơ quan quản lý nhà nước liên quan đến lĩnh vực hoạt động chính của quỹ;</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(9)</w:t>
      </w:r>
      <w:r w:rsidRPr="00DF39E6">
        <w:rPr>
          <w:rFonts w:eastAsia="Times New Roman" w:cs="Times New Roman"/>
          <w:sz w:val="24"/>
          <w:szCs w:val="24"/>
        </w:rPr>
        <w:t xml:space="preserve"> Toàn quốc hoặc liên tỉnh, trong tỉnh, huyện, xã;</w:t>
      </w:r>
    </w:p>
    <w:p w:rsidR="007C487D" w:rsidRPr="00DF39E6" w:rsidRDefault="007C487D" w:rsidP="007C487D">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(10)</w:t>
      </w:r>
      <w:r w:rsidRPr="00DF39E6">
        <w:rPr>
          <w:rFonts w:eastAsia="Times New Roman" w:cs="Times New Roman"/>
          <w:sz w:val="24"/>
          <w:szCs w:val="24"/>
        </w:rPr>
        <w:t xml:space="preserve"> Ghi rõ thông tin về sáng lập viên: Trường hợp sáng lập viên là cá nhân: Họ và tên; ngày, tháng, năm sinh; quốc tịch; số và nơi cấp CMTND hoặc hộ chiếu; địa chỉ thường trú. Trường hợp sáng lập viên là tổ chức: Tên tổ chức, địa chỉ trụ sở chính, giấy phép hoặc quyết định thành lập và hoạt động; giấy chứng nhận đăng ký kinh doanh (nếu có).</w:t>
      </w:r>
    </w:p>
    <w:p w:rsidR="00621CF5" w:rsidRDefault="00621CF5"/>
    <w:sectPr w:rsidR="00621CF5" w:rsidSect="0062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7C487D"/>
    <w:rsid w:val="00621CF5"/>
    <w:rsid w:val="007C487D"/>
    <w:rsid w:val="00D50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7D"/>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2101</Words>
  <Characters>11976</Characters>
  <Application>Microsoft Office Word</Application>
  <DocSecurity>0</DocSecurity>
  <Lines>99</Lines>
  <Paragraphs>28</Paragraphs>
  <ScaleCrop>false</ScaleCrop>
  <Company>Microsoft</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2020-09-08T03:02:00Z</dcterms:created>
  <dcterms:modified xsi:type="dcterms:W3CDTF">2020-09-08T03:03:00Z</dcterms:modified>
</cp:coreProperties>
</file>